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Fonts w:hint="eastAsia" w:ascii="文星标宋" w:hAnsi="文星标宋" w:eastAsia="文星标宋" w:cs="文星标宋"/>
          <w:b w:val="0"/>
          <w:bCs w:val="0"/>
          <w:sz w:val="30"/>
        </w:rPr>
      </w:pPr>
      <w:r>
        <w:rPr>
          <w:rFonts w:hint="eastAsia" w:ascii="文星标宋" w:hAnsi="文星标宋" w:eastAsia="文星标宋" w:cs="文星标宋"/>
          <w:b w:val="0"/>
          <w:bCs w:val="0"/>
          <w:sz w:val="30"/>
          <w:lang w:val="en-US" w:eastAsia="zh-CN"/>
        </w:rPr>
        <w:t>教育局</w:t>
      </w:r>
      <w:r>
        <w:rPr>
          <w:rFonts w:hint="eastAsia" w:ascii="文星标宋" w:hAnsi="文星标宋" w:eastAsia="文星标宋" w:cs="文星标宋"/>
          <w:b w:val="0"/>
          <w:bCs w:val="0"/>
          <w:sz w:val="30"/>
        </w:rPr>
        <w:t>义务教育领域基层政务公开标准目录</w:t>
      </w:r>
    </w:p>
    <w:tbl>
      <w:tblPr>
        <w:tblStyle w:val="6"/>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540"/>
        <w:gridCol w:w="709"/>
        <w:gridCol w:w="11"/>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144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2160"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hint="eastAsia" w:ascii="黑体" w:hAnsi="Times New Roman" w:eastAsia="黑体"/>
                <w:color w:val="000000"/>
                <w:kern w:val="0"/>
                <w:sz w:val="22"/>
              </w:rPr>
            </w:pP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vAlign w:val="center"/>
          </w:tcPr>
          <w:p>
            <w:pPr>
              <w:widowControl/>
              <w:jc w:val="left"/>
              <w:rPr>
                <w:rFonts w:hint="eastAsia" w:ascii="黑体" w:hAnsi="宋体" w:eastAsia="黑体" w:cs="宋体"/>
                <w:color w:val="000000"/>
                <w:kern w:val="0"/>
                <w:sz w:val="22"/>
              </w:rPr>
            </w:pPr>
          </w:p>
        </w:tc>
        <w:tc>
          <w:tcPr>
            <w:tcW w:w="2520" w:type="dxa"/>
            <w:vMerge w:val="continue"/>
            <w:vAlign w:val="center"/>
          </w:tcPr>
          <w:p>
            <w:pPr>
              <w:widowControl/>
              <w:jc w:val="left"/>
              <w:rPr>
                <w:rFonts w:hint="eastAsia" w:ascii="黑体" w:hAnsi="宋体" w:eastAsia="黑体" w:cs="宋体"/>
                <w:color w:val="000000"/>
                <w:kern w:val="0"/>
                <w:sz w:val="22"/>
              </w:rPr>
            </w:pPr>
          </w:p>
        </w:tc>
        <w:tc>
          <w:tcPr>
            <w:tcW w:w="1620" w:type="dxa"/>
            <w:vMerge w:val="continue"/>
            <w:vAlign w:val="center"/>
          </w:tcPr>
          <w:p>
            <w:pPr>
              <w:widowControl/>
              <w:jc w:val="left"/>
              <w:rPr>
                <w:rFonts w:hint="eastAsia" w:ascii="黑体" w:hAnsi="宋体" w:eastAsia="黑体" w:cs="宋体"/>
                <w:color w:val="000000"/>
                <w:kern w:val="0"/>
                <w:sz w:val="22"/>
              </w:rPr>
            </w:pPr>
          </w:p>
        </w:tc>
        <w:tc>
          <w:tcPr>
            <w:tcW w:w="900" w:type="dxa"/>
            <w:vMerge w:val="continue"/>
            <w:vAlign w:val="center"/>
          </w:tcPr>
          <w:p>
            <w:pPr>
              <w:widowControl/>
              <w:jc w:val="left"/>
              <w:rPr>
                <w:rFonts w:hint="eastAsia" w:ascii="黑体" w:hAnsi="宋体" w:eastAsia="黑体" w:cs="宋体"/>
                <w:color w:val="000000"/>
                <w:kern w:val="0"/>
                <w:sz w:val="22"/>
              </w:rPr>
            </w:pPr>
          </w:p>
        </w:tc>
        <w:tc>
          <w:tcPr>
            <w:tcW w:w="2160" w:type="dxa"/>
            <w:vMerge w:val="continue"/>
            <w:vAlign w:val="center"/>
          </w:tcPr>
          <w:p>
            <w:pPr>
              <w:widowControl/>
              <w:jc w:val="left"/>
              <w:rPr>
                <w:rFonts w:hint="eastAsia" w:ascii="黑体" w:hAnsi="宋体" w:eastAsia="黑体" w:cs="宋体"/>
                <w:kern w:val="0"/>
                <w:sz w:val="22"/>
              </w:rPr>
            </w:pP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6" w:hRule="atLeast"/>
        </w:trPr>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教育法律</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《教育法》、《义务教育法》、《民办教育促进法》、《教师法》、《国家通用语言文字法》</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规范性文件</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部门和地方政府规章、各类教育政策文件</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■政府公报</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2</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教育概况</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52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《统计法》、《政府信息公开条例》、《教育统计管理规定》</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教育统计数据</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学校数据、在校生数据、教师数据、办学条件数据、县级汇总数据</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义务教育学校名录</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学校名称、学校地址、办学层次、办学类型、办公电话</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3</w:t>
            </w:r>
          </w:p>
        </w:tc>
        <w:tc>
          <w:tcPr>
            <w:tcW w:w="5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民办学校信息</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日常监管信息</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年检指标、年检程序、年检结果、行政处罚信息</w:t>
            </w:r>
          </w:p>
        </w:tc>
        <w:tc>
          <w:tcPr>
            <w:tcW w:w="2520" w:type="dxa"/>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4</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2340" w:type="dxa"/>
            <w:vAlign w:val="center"/>
          </w:tcPr>
          <w:p>
            <w:pPr>
              <w:jc w:val="left"/>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财务管理及监督办法、</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年度经费预决算信息、收费项目及收费标准</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招生管理</w:t>
            </w:r>
          </w:p>
        </w:tc>
        <w:tc>
          <w:tcPr>
            <w:tcW w:w="90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学校介绍</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办学性质、办学地点、办学规模、办学基本条件、联系方式等</w:t>
            </w:r>
          </w:p>
        </w:tc>
        <w:tc>
          <w:tcPr>
            <w:tcW w:w="2520" w:type="dxa"/>
            <w:vMerge w:val="restart"/>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招生政策</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各校招生工作实施方案；随迁子女入学办法；部分适龄儿童或少年延缓入学、休学等特殊需求的政策解读等</w:t>
            </w:r>
          </w:p>
        </w:tc>
        <w:tc>
          <w:tcPr>
            <w:tcW w:w="252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■两微一端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■广播电视  </w:t>
            </w:r>
          </w:p>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■纸质媒体           ■公开查阅点</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5</w:t>
            </w:r>
          </w:p>
        </w:tc>
        <w:tc>
          <w:tcPr>
            <w:tcW w:w="540" w:type="dxa"/>
            <w:vMerge w:val="restart"/>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招生管理</w:t>
            </w: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招生计划</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各校本年度招生计划</w:t>
            </w:r>
          </w:p>
        </w:tc>
        <w:tc>
          <w:tcPr>
            <w:tcW w:w="2520" w:type="dxa"/>
            <w:vMerge w:val="restart"/>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招生范围</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招生范围、学区划分详细情况</w:t>
            </w:r>
          </w:p>
        </w:tc>
        <w:tc>
          <w:tcPr>
            <w:tcW w:w="252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招生结果</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各校本年度招生结果</w:t>
            </w:r>
          </w:p>
        </w:tc>
        <w:tc>
          <w:tcPr>
            <w:tcW w:w="252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■两微一端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■社区/企事业单位/村公示栏（电子屏）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6</w:t>
            </w:r>
          </w:p>
        </w:tc>
        <w:tc>
          <w:tcPr>
            <w:tcW w:w="540" w:type="dxa"/>
            <w:vMerge w:val="restart"/>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学生管理</w:t>
            </w: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学籍管理</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《义务教育法》、《政府信息公开条例》、《中小学生学籍管理办法》</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■两微一端</w:t>
            </w:r>
          </w:p>
          <w:p>
            <w:pPr>
              <w:rPr>
                <w:rFonts w:hint="eastAsia" w:ascii="仿宋_GB2312" w:hAnsi="仿宋" w:eastAsia="仿宋_GB2312" w:cs="宋体"/>
                <w:sz w:val="18"/>
                <w:szCs w:val="18"/>
              </w:rPr>
            </w:pPr>
            <w:r>
              <w:rPr>
                <w:rFonts w:hint="eastAsia" w:ascii="仿宋_GB2312" w:hAnsi="仿宋" w:eastAsia="仿宋_GB2312"/>
                <w:sz w:val="18"/>
                <w:szCs w:val="18"/>
              </w:rPr>
              <w:t xml:space="preserve">■其他：中小学生学籍管理系统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义务教育学生资助政策</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统一城乡义务教育“两免一补”政策</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《政府信息公开条例》、《国务院关于进一步完善城乡义务教育经费保障机制的通知》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■公开查阅点</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■社区/企事业单位/村公示栏（电子屏）</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学生评优奖励</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省市县“三好学生”“优秀学生干部”评选标准；评比方法；表彰名单等</w:t>
            </w:r>
          </w:p>
        </w:tc>
        <w:tc>
          <w:tcPr>
            <w:tcW w:w="252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《政府信息公开条例》，当地省市县表彰文件</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■两微一端</w:t>
            </w:r>
          </w:p>
          <w:p>
            <w:pPr>
              <w:rPr>
                <w:rFonts w:hint="eastAsia" w:ascii="仿宋_GB2312" w:hAnsi="仿宋" w:eastAsia="仿宋_GB2312" w:cs="宋体"/>
                <w:sz w:val="18"/>
                <w:szCs w:val="18"/>
              </w:rPr>
            </w:pPr>
            <w:r>
              <w:rPr>
                <w:rFonts w:hint="eastAsia" w:ascii="仿宋_GB2312" w:hAnsi="仿宋" w:eastAsia="仿宋_GB2312"/>
                <w:sz w:val="18"/>
                <w:szCs w:val="18"/>
              </w:rPr>
              <w:t xml:space="preserve">■社区/企事业单位/村公示栏（电子屏）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6</w:t>
            </w:r>
          </w:p>
        </w:tc>
        <w:tc>
          <w:tcPr>
            <w:tcW w:w="54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学生管理</w:t>
            </w:r>
          </w:p>
        </w:tc>
        <w:tc>
          <w:tcPr>
            <w:tcW w:w="900" w:type="dxa"/>
            <w:vAlign w:val="center"/>
          </w:tcPr>
          <w:p>
            <w:pPr>
              <w:rPr>
                <w:rFonts w:hint="eastAsia" w:ascii="仿宋_GB2312" w:hAnsi="宋体" w:eastAsia="仿宋_GB2312"/>
                <w:sz w:val="18"/>
                <w:szCs w:val="18"/>
              </w:rPr>
            </w:pPr>
            <w:r>
              <w:rPr>
                <w:rFonts w:hint="eastAsia" w:ascii="仿宋_GB2312" w:hAnsi="宋体" w:eastAsia="仿宋_GB2312"/>
                <w:sz w:val="18"/>
                <w:szCs w:val="18"/>
              </w:rPr>
              <w:t>优待政策</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军人子女参加中考优待确认办理的材料、流程和政策要求；少数民族考生中考加分确认办理的材料、流程和政策要求；归侨学生、归侨子女、华侨子女和港澳台籍考生中考加分确认；公安英烈和因公牺牲伤残公安民警子女教育优待细则；综合性消防救援队伍人员及其子女教育优待细则</w:t>
            </w:r>
          </w:p>
        </w:tc>
        <w:tc>
          <w:tcPr>
            <w:tcW w:w="252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军人子女教育优待办法》、《国务院办公厅关于严格执行党和国家民族政策有关问题的通知》、《归侨侨眷权益保护法》、《教育部、国务院台湾事务办公室关于进一步做好台湾同胞子女在大陆中小学和幼儿园就读工作的若干意见》等</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教师培训政策文件、培训项目组织实施通知</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《教育法》、《教师法》、《中小学教师继续教育规定》</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教师资格认定申请材料；参加体检时间、医疗机构名单、体检合格标准；认定结果；咨询方式、监督举报方式、常见问题等</w:t>
            </w:r>
          </w:p>
        </w:tc>
        <w:tc>
          <w:tcPr>
            <w:tcW w:w="252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《教师法》、《政府信息公开条例》、《教师资格条例》及实施办法、《教育部关于印发〈教师资格证书管理规定〉的通知》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9" w:hRule="atLeas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continue"/>
            <w:vAlign w:val="center"/>
          </w:tcPr>
          <w:p>
            <w:pPr>
              <w:rPr>
                <w:rFonts w:hint="eastAsia" w:ascii="仿宋_GB2312" w:hAnsi="宋体" w:eastAsia="仿宋_GB2312" w:cs="宋体"/>
                <w:color w:val="000000"/>
                <w:sz w:val="18"/>
                <w:szCs w:val="18"/>
              </w:rPr>
            </w:pP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中小学、幼儿园教师资格证书补发、换发政策及流程</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教师公开招聘</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教师招聘计划和公告、拟聘用人员名单公示</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《政府信息公开条例》、《事业单位公开招聘人员暂行规定》、《关于进一步规范事业单位公开招聘工作的通知》、《人力资源社会保障部关于事业单位公开招聘岗位条件设置有关问题的通知》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■广播电视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■纸质媒体           ■社区/企事业单位/村公示栏（电子屏）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教师</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行为</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规范</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教师职业行为准则及违规处理办法</w:t>
            </w:r>
          </w:p>
        </w:tc>
        <w:tc>
          <w:tcPr>
            <w:tcW w:w="252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新时代高校教师职业行为十项准则》、《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continue"/>
            <w:vAlign w:val="center"/>
          </w:tcPr>
          <w:p>
            <w:pPr>
              <w:rPr>
                <w:rFonts w:hint="eastAsia" w:ascii="仿宋_GB2312" w:hAnsi="宋体" w:eastAsia="仿宋_GB2312" w:cs="宋体"/>
                <w:color w:val="000000"/>
                <w:sz w:val="18"/>
                <w:szCs w:val="18"/>
              </w:rPr>
            </w:pP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对教师有严重违反教师职业行为准则的行政处罚信息</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教师评优评先</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优秀教师的表彰、奖励等行政奖励信息公示</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《教师法》、《中共中央 国务院关于全面深化新时代教师队伍建设改革的意见》</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continue"/>
            <w:vAlign w:val="center"/>
          </w:tcPr>
          <w:p>
            <w:pPr>
              <w:rPr>
                <w:rFonts w:hint="eastAsia" w:ascii="仿宋_GB2312" w:hAnsi="宋体" w:eastAsia="仿宋_GB2312" w:cs="宋体"/>
                <w:color w:val="000000"/>
                <w:sz w:val="18"/>
                <w:szCs w:val="18"/>
              </w:rPr>
            </w:pP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任教30年乡村教师以上教师申请荣誉证书相关政策</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《政府信息公开条例》、《关于做好乡村学校从教30年教师荣誉证书颁发工作的通知》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教师职称评审</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评审政策、评审通知、学校拟推荐人选名单、评审结果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、最终结果</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《政府信息公开条例》、《人力资源社会保障部教育部关于印发深化中小学教师职称制度改革的指导意见的通知》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县级、乡级教育部门</w:t>
            </w:r>
          </w:p>
        </w:tc>
        <w:tc>
          <w:tcPr>
            <w:tcW w:w="216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教师</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特岗教师招聘</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岗位设置管理政策、条件、程序等；特岗教师招聘文件及招聘公告；初审结果；笔试成绩；资格复审结果；参加面试人员、面试成绩；进入考察人员名单；拟聘用人员名单；最终聘用结果</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 人事部 中央编办 关于实施农村义务教育阶段学校教师特设岗位计划的通知》、《教育部 财政部 人力资源社会保障部 中央编办 关于继续组织实施“农村义务教育阶段学校教师特设岗位计划”的通知》等</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应聘</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人员</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7</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乡村教师生活补助</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管理制度、实施方案、实施时间、补助范围、发放对象、补助档次标准、发放情况</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信息形成（变更）3个工作日内；教师申领情况进行常年公示</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jc w:val="left"/>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■两微一端           ■公开查阅点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普通话培训及测试</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开展普通话培训、测试的通知；测试结果查询</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《政府信息公开条例》、《普通话水平测试管理规定》</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94" w:hRule="atLeas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8</w:t>
            </w:r>
          </w:p>
        </w:tc>
        <w:tc>
          <w:tcPr>
            <w:tcW w:w="540" w:type="dxa"/>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控辍保学</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“一县一策”控辍保学工作方案；年度工作进展情况（含义务教育学生失学、辍学的总体情况，建档立卡家庭贫困学生总体就学情况）；督导检查结果公告；典型经验和有效做法</w:t>
            </w:r>
          </w:p>
        </w:tc>
        <w:tc>
          <w:tcPr>
            <w:tcW w:w="252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《政府信息公开条例》、《国务院办公厅关于进一步加强控辍保学提高义务教育巩固水平的通知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spacing w:line="240" w:lineRule="exac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jc w:val="center"/>
              <w:rPr>
                <w:rFonts w:hint="eastAsia" w:ascii="仿宋_GB2312" w:hAnsi="宋体" w:eastAsia="仿宋_GB2312" w:cs="宋体"/>
                <w:color w:val="000000"/>
                <w:sz w:val="18"/>
                <w:szCs w:val="18"/>
              </w:rPr>
            </w:pP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重要政策执行情况</w:t>
            </w:r>
          </w:p>
        </w:tc>
        <w:tc>
          <w:tcPr>
            <w:tcW w:w="90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农村义务教育学生营养改善计划</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有关政策法规、规章、规范性文件；组织机构和职责，举报电话、信箱或电子邮箱</w:t>
            </w:r>
            <w:r>
              <w:rPr>
                <w:rFonts w:hint="eastAsia" w:ascii="仿宋_GB2312" w:hAnsi="宋体" w:eastAsia="仿宋_GB2312"/>
                <w:sz w:val="18"/>
                <w:szCs w:val="18"/>
              </w:rPr>
              <w:br w:type="textWrapping"/>
            </w:r>
            <w:r>
              <w:rPr>
                <w:rFonts w:hint="eastAsia" w:ascii="仿宋_GB2312" w:hAnsi="宋体" w:eastAsia="仿宋_GB2312"/>
                <w:sz w:val="18"/>
                <w:szCs w:val="18"/>
              </w:rPr>
              <w:t>；供餐企业、托餐家庭名单</w:t>
            </w:r>
          </w:p>
        </w:tc>
        <w:tc>
          <w:tcPr>
            <w:tcW w:w="252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《国务院办公厅关于实施农村义务教育学生营养改善计划的意见》《教育部等十五部门关于印发〈农村义务教育学生营养改善计划实施细则〉等五个配套文件的通知》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■纸质媒体           ■公开查阅点</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■便民服务站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continue"/>
            <w:vAlign w:val="center"/>
          </w:tcPr>
          <w:p>
            <w:pPr>
              <w:rPr>
                <w:rFonts w:hint="eastAsia" w:ascii="仿宋_GB2312" w:hAnsi="宋体" w:eastAsia="仿宋_GB2312" w:cs="宋体"/>
                <w:color w:val="000000"/>
                <w:sz w:val="18"/>
                <w:szCs w:val="18"/>
              </w:rPr>
            </w:pP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学校食堂饭菜价格、带量食谱；学校膳食委员会名单；学校管理人员陪餐情况；食品安全突发事件应急预案</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实施营养改善计划的试点学校</w:t>
            </w:r>
          </w:p>
        </w:tc>
        <w:tc>
          <w:tcPr>
            <w:tcW w:w="2160" w:type="dxa"/>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Merge w:val="continue"/>
            <w:vAlign w:val="center"/>
          </w:tcPr>
          <w:p>
            <w:pPr>
              <w:rPr>
                <w:rFonts w:hint="eastAsia" w:ascii="仿宋_GB2312" w:hAnsi="宋体" w:eastAsia="仿宋_GB2312" w:cs="宋体"/>
                <w:color w:val="000000"/>
                <w:sz w:val="18"/>
                <w:szCs w:val="18"/>
              </w:rPr>
            </w:pP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供餐企业（单位）配套管理制度，食品安全责任人、供餐方签约人；食品安全突发事件应急预案</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实施营养改善计划的供餐企业（单位）</w:t>
            </w:r>
          </w:p>
        </w:tc>
        <w:tc>
          <w:tcPr>
            <w:tcW w:w="2160" w:type="dxa"/>
            <w:vAlign w:val="center"/>
          </w:tcPr>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sz w:val="18"/>
                <w:szCs w:val="18"/>
                <w:lang w:eastAsia="zh-CN"/>
              </w:rPr>
            </w:pPr>
            <w:r>
              <w:rPr>
                <w:rFonts w:hint="eastAsia" w:ascii="仿宋_GB2312" w:hAnsi="宋体" w:eastAsia="仿宋_GB2312"/>
                <w:sz w:val="18"/>
                <w:szCs w:val="18"/>
                <w:lang w:val="en-US" w:eastAsia="zh-CN"/>
              </w:rPr>
              <w:t>8</w:t>
            </w:r>
          </w:p>
        </w:tc>
        <w:tc>
          <w:tcPr>
            <w:tcW w:w="540" w:type="dxa"/>
            <w:vMerge w:val="restart"/>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学校体育评价</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《政府信息公开条例》、教育部关于印发《学生体质健康监测评价办法》等三个文件的通知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sz w:val="18"/>
                <w:szCs w:val="18"/>
              </w:rPr>
            </w:pPr>
          </w:p>
        </w:tc>
        <w:tc>
          <w:tcPr>
            <w:tcW w:w="540" w:type="dxa"/>
            <w:vMerge w:val="continue"/>
            <w:vAlign w:val="center"/>
          </w:tcPr>
          <w:p>
            <w:pPr>
              <w:rPr>
                <w:rFonts w:hint="eastAsia" w:ascii="仿宋_GB2312" w:hAnsi="宋体" w:eastAsia="仿宋_GB2312" w:cs="宋体"/>
                <w:sz w:val="18"/>
                <w:szCs w:val="18"/>
              </w:rPr>
            </w:pP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学校美育评价</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《政府信息公开条例》、教育部关于印发《中小学生艺术素质测评办法》等三个文件的通知</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县（市、区）教育部门</w:t>
            </w:r>
          </w:p>
        </w:tc>
        <w:tc>
          <w:tcPr>
            <w:tcW w:w="216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7" w:hRule="atLeast"/>
        </w:trPr>
        <w:tc>
          <w:tcPr>
            <w:tcW w:w="540" w:type="dxa"/>
            <w:vMerge w:val="restart"/>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9</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    教育督导</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机构队伍</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督导部门组成、督学名单、</w:t>
            </w:r>
          </w:p>
        </w:tc>
        <w:tc>
          <w:tcPr>
            <w:tcW w:w="252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《教育督导条例》、《县域义务教育均衡发展督导评估暂行办法》、《县域义务教育优质均衡发展督导评估办法》</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r>
              <w:rPr>
                <w:rFonts w:hint="eastAsia" w:ascii="仿宋_GB2312" w:hAnsi="仿宋" w:eastAsia="仿宋_GB2312"/>
                <w:sz w:val="18"/>
                <w:szCs w:val="18"/>
              </w:rPr>
              <w:br w:type="textWrapping"/>
            </w:r>
            <w:r>
              <w:rPr>
                <w:rFonts w:hint="eastAsia" w:ascii="仿宋_GB2312" w:hAnsi="仿宋" w:eastAsia="仿宋_GB2312"/>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学校督导评估</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年度督导工作计划内容、责任区划分和责任督学名单、责任督学日常督导事项，学校督导评估的办法、指标体系、督导评估报告</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cs="宋体"/>
                <w:sz w:val="18"/>
                <w:szCs w:val="18"/>
              </w:rPr>
            </w:pPr>
            <w:r>
              <w:rPr>
                <w:rFonts w:hint="eastAsia" w:ascii="仿宋_GB2312" w:hAnsi="仿宋" w:eastAsia="仿宋_GB2312"/>
                <w:sz w:val="18"/>
                <w:szCs w:val="18"/>
              </w:rPr>
              <w:t xml:space="preserve">■两微一端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义务教育均衡发展督导评估</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国务院教育督导委员会对义务教育发展均衡县进行认定的结果、报告</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 xml:space="preserve">■两微一端  </w:t>
            </w:r>
          </w:p>
          <w:p>
            <w:pPr>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lang w:val="en-US" w:eastAsia="zh-CN"/>
              </w:rPr>
              <w:t>10</w:t>
            </w:r>
          </w:p>
        </w:tc>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校园安全</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52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《政府信息公开条例》、《国务院办公厅关于加强中小学幼儿园安全风险防控体系建设的意见》、《教育部关于推进中小学信息公开工作的意见》、《校车安全管理条例》</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hint="eastAsia"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pPr>
        <w:numPr>
          <w:numId w:val="0"/>
        </w:numPr>
        <w:bidi w:val="0"/>
        <w:jc w:val="center"/>
        <w:rPr>
          <w:rFonts w:hint="eastAsia" w:ascii="文星标宋" w:hAnsi="文星标宋" w:eastAsia="文星标宋" w:cs="文星标宋"/>
          <w:b w:val="0"/>
          <w:bCs w:val="0"/>
          <w:sz w:val="30"/>
        </w:rPr>
      </w:pPr>
      <w:r>
        <w:rPr>
          <w:rFonts w:hint="eastAsia" w:ascii="文星标宋" w:hAnsi="文星标宋" w:eastAsia="文星标宋" w:cs="文星标宋"/>
          <w:b w:val="0"/>
          <w:bCs w:val="0"/>
          <w:sz w:val="30"/>
          <w:lang w:val="en-US" w:eastAsia="zh-CN"/>
        </w:rPr>
        <w:t>（三）政务服务局</w:t>
      </w:r>
      <w:r>
        <w:rPr>
          <w:rFonts w:hint="eastAsia" w:ascii="文星标宋" w:hAnsi="文星标宋" w:eastAsia="文星标宋" w:cs="文星标宋"/>
          <w:b w:val="0"/>
          <w:bCs w:val="0"/>
          <w:sz w:val="30"/>
        </w:rPr>
        <w:t>义务教育领域基层政务公开标准目录</w:t>
      </w:r>
    </w:p>
    <w:tbl>
      <w:tblPr>
        <w:tblStyle w:val="6"/>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540"/>
        <w:gridCol w:w="720"/>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088" w:hRule="atLeast"/>
        </w:trPr>
        <w:tc>
          <w:tcPr>
            <w:tcW w:w="540" w:type="dxa"/>
            <w:vMerge w:val="restart"/>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w:t>
            </w:r>
          </w:p>
        </w:tc>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民办学校信息</w:t>
            </w: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民办学校办学基本信息</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学校名称、办学许可证、办学规模、联系方式</w:t>
            </w:r>
          </w:p>
        </w:tc>
        <w:tc>
          <w:tcPr>
            <w:tcW w:w="252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《民办教育促进法》、《政府信息公开条例》、《国务院关于鼓励社会力量兴办教育 促进民办教育健康发展的若干意见》</w:t>
            </w: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540" w:type="dxa"/>
            <w:vMerge w:val="continue"/>
            <w:vAlign w:val="center"/>
          </w:tcPr>
          <w:p>
            <w:pPr>
              <w:rPr>
                <w:rFonts w:hint="eastAsia" w:ascii="仿宋_GB2312" w:hAnsi="宋体" w:eastAsia="仿宋_GB2312" w:cs="宋体"/>
                <w:color w:val="000000"/>
                <w:sz w:val="18"/>
                <w:szCs w:val="18"/>
              </w:rPr>
            </w:pPr>
          </w:p>
        </w:tc>
        <w:tc>
          <w:tcPr>
            <w:tcW w:w="90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民办学校设立、变更、终止等事项行政审批、备案信息</w:t>
            </w:r>
          </w:p>
        </w:tc>
        <w:tc>
          <w:tcPr>
            <w:tcW w:w="23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法律依据、办理流程、审批结果</w:t>
            </w:r>
          </w:p>
        </w:tc>
        <w:tc>
          <w:tcPr>
            <w:tcW w:w="252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县（市、区）教育部门</w:t>
            </w:r>
          </w:p>
        </w:tc>
        <w:tc>
          <w:tcPr>
            <w:tcW w:w="2160" w:type="dxa"/>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           ■公开查阅点</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pPr>
        <w:numPr>
          <w:numId w:val="0"/>
        </w:numPr>
        <w:bidi w:val="0"/>
        <w:jc w:val="center"/>
        <w:rPr>
          <w:rFonts w:hint="eastAsia" w:ascii="文星标宋" w:hAnsi="文星标宋" w:eastAsia="文星标宋" w:cs="文星标宋"/>
          <w:b w:val="0"/>
          <w:bCs w:val="0"/>
          <w:sz w:val="30"/>
        </w:rPr>
      </w:pPr>
      <w:bookmarkStart w:id="0" w:name="_GoBack"/>
      <w:bookmarkEnd w:id="0"/>
    </w:p>
    <w:p>
      <w:pPr>
        <w:numPr>
          <w:numId w:val="0"/>
        </w:numPr>
        <w:jc w:val="both"/>
        <w:rPr>
          <w:rFonts w:hint="eastAsia" w:ascii="文星标宋" w:hAnsi="文星标宋" w:eastAsia="文星标宋" w:cs="文星标宋"/>
          <w:b w:val="0"/>
          <w:bCs w:val="0"/>
          <w:sz w:val="3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egoe Print"/>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PMingLiU">
    <w:altName w:val="Microsoft JhengHei UI"/>
    <w:panose1 w:val="02020500000000000000"/>
    <w:charset w:val="88"/>
    <w:family w:val="auto"/>
    <w:pitch w:val="default"/>
    <w:sig w:usb0="00000000" w:usb1="00000000" w:usb2="00000016" w:usb3="00000000" w:csb0="00100001" w:csb1="00000000"/>
  </w:font>
  <w:font w:name="Arial">
    <w:panose1 w:val="020B0604020202020204"/>
    <w:charset w:val="00"/>
    <w:family w:val="auto"/>
    <w:pitch w:val="default"/>
    <w:sig w:usb0="E0002EFF" w:usb1="C000785B" w:usb2="00000009" w:usb3="00000000" w:csb0="400001FF" w:csb1="FFFF0000"/>
  </w:font>
  <w:font w:name="文星标宋">
    <w:altName w:val="微软雅黑"/>
    <w:panose1 w:val="02010604000101010101"/>
    <w:charset w:val="86"/>
    <w:family w:val="auto"/>
    <w:pitch w:val="default"/>
    <w:sig w:usb0="00000000" w:usb1="00000000" w:usb2="00000000"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东文宋体">
    <w:altName w:val="宋体"/>
    <w:panose1 w:val="00000000000000000000"/>
    <w:charset w:val="00"/>
    <w:family w:val="auto"/>
    <w:pitch w:val="default"/>
    <w:sig w:usb0="00000000" w:usb1="00000000" w:usb2="00000000" w:usb3="00000000" w:csb0="00000000" w:csb1="00000000"/>
  </w:font>
  <w:font w:name="Calibri Light">
    <w:altName w:val="Segoe Print"/>
    <w:panose1 w:val="020F0302020204030204"/>
    <w:charset w:val="00"/>
    <w:family w:val="swiss"/>
    <w:pitch w:val="default"/>
    <w:sig w:usb0="00000000" w:usb1="00000000" w:usb2="00000009" w:usb3="00000000" w:csb0="200001F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PMingLiU-ExtB">
    <w:altName w:val="Microsoft JhengHei UI"/>
    <w:panose1 w:val="02020500000000000000"/>
    <w:charset w:val="88"/>
    <w:family w:val="auto"/>
    <w:pitch w:val="default"/>
    <w:sig w:usb0="00000000" w:usb1="00000000" w:usb2="00000000" w:usb3="00000000" w:csb0="0010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A0790"/>
    <w:multiLevelType w:val="singleLevel"/>
    <w:tmpl w:val="5FDA0790"/>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A10C62"/>
    <w:rsid w:val="71A10C6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iPriority w:val="0"/>
    <w:pPr>
      <w:spacing w:after="0"/>
      <w:ind w:firstLine="200" w:firstLineChars="200"/>
    </w:pPr>
    <w:rPr>
      <w:rFonts w:ascii="Calibri" w:hAnsi="Calibri" w:eastAsia="宋体" w:cs="Times New Roman"/>
      <w:lang w:bidi="ar-SA"/>
    </w:rPr>
  </w:style>
  <w:style w:type="paragraph" w:styleId="3">
    <w:name w:val="Body Text Indent"/>
    <w:basedOn w:val="1"/>
    <w:next w:val="4"/>
    <w:uiPriority w:val="0"/>
    <w:pPr>
      <w:spacing w:after="120"/>
      <w:ind w:left="200" w:leftChars="200"/>
    </w:pPr>
    <w:rPr>
      <w:rFonts w:eastAsia="宋体"/>
      <w:sz w:val="21"/>
    </w:rPr>
  </w:style>
  <w:style w:type="paragraph" w:styleId="4">
    <w:name w:val="Normal Indent"/>
    <w:basedOn w:val="1"/>
    <w:uiPriority w:val="0"/>
    <w:pPr>
      <w:ind w:firstLine="200" w:firstLineChars="200"/>
    </w:pPr>
    <w:rPr>
      <w:rFonts w:eastAsia="仿宋"/>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2020-12-16T13:05:00Z</dcterms:created>
  <dc:creator>Administrator</dc:creator>
  <cp:lastModifiedBy>Administrator</cp:lastModifiedBy>
  <dcterms:modified xsi:type="dcterms:W3CDTF">2020-12-16T13:07:21Z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